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11" w:rsidRPr="00E46EB3" w:rsidRDefault="008E013D" w:rsidP="00E46EB3">
      <w:pPr>
        <w:spacing w:line="72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r w:rsidRPr="00E46EB3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松原市宁江区人民法院</w:t>
      </w:r>
    </w:p>
    <w:p w:rsidR="00BF3211" w:rsidRPr="00E46EB3" w:rsidRDefault="008E013D" w:rsidP="00E46EB3">
      <w:pPr>
        <w:spacing w:line="72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r w:rsidRPr="00E46EB3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工作报告</w:t>
      </w:r>
    </w:p>
    <w:p w:rsidR="00BF3211" w:rsidRDefault="00BF3211">
      <w:pPr>
        <w:jc w:val="center"/>
        <w:rPr>
          <w:rFonts w:ascii="宋体" w:eastAsia="宋体" w:hAnsi="宋体" w:cs="宋体"/>
          <w:sz w:val="32"/>
          <w:szCs w:val="32"/>
        </w:rPr>
      </w:pPr>
    </w:p>
    <w:p w:rsidR="00BF3211" w:rsidRPr="00E46EB3" w:rsidRDefault="008E013D">
      <w:pPr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z w:val="32"/>
          <w:szCs w:val="32"/>
        </w:rPr>
        <w:t>——</w:t>
      </w:r>
      <w:r w:rsidRPr="00E46EB3">
        <w:rPr>
          <w:rFonts w:ascii="仿宋_GB2312" w:eastAsia="仿宋_GB2312" w:hAnsi="宋体" w:cs="宋体" w:hint="eastAsia"/>
          <w:sz w:val="32"/>
          <w:szCs w:val="32"/>
        </w:rPr>
        <w:t>2017</w:t>
      </w:r>
      <w:r w:rsidRPr="00E46EB3">
        <w:rPr>
          <w:rFonts w:ascii="仿宋_GB2312" w:eastAsia="仿宋_GB2312" w:hAnsi="宋体" w:cs="宋体" w:hint="eastAsia"/>
          <w:sz w:val="32"/>
          <w:szCs w:val="32"/>
        </w:rPr>
        <w:t>年</w:t>
      </w:r>
      <w:r w:rsidRPr="00E46EB3">
        <w:rPr>
          <w:rFonts w:ascii="仿宋_GB2312" w:eastAsia="仿宋_GB2312" w:hAnsi="宋体" w:cs="宋体" w:hint="eastAsia"/>
          <w:sz w:val="32"/>
          <w:szCs w:val="32"/>
        </w:rPr>
        <w:t>12</w:t>
      </w:r>
      <w:r w:rsidRPr="00E46EB3">
        <w:rPr>
          <w:rFonts w:ascii="仿宋_GB2312" w:eastAsia="仿宋_GB2312" w:hAnsi="宋体" w:cs="宋体" w:hint="eastAsia"/>
          <w:sz w:val="32"/>
          <w:szCs w:val="32"/>
        </w:rPr>
        <w:t>月</w:t>
      </w:r>
      <w:r w:rsidRPr="00E46EB3">
        <w:rPr>
          <w:rFonts w:ascii="仿宋_GB2312" w:eastAsia="仿宋_GB2312" w:hAnsi="宋体" w:cs="宋体" w:hint="eastAsia"/>
          <w:sz w:val="32"/>
          <w:szCs w:val="32"/>
        </w:rPr>
        <w:t>24</w:t>
      </w:r>
      <w:r w:rsidRPr="00E46EB3">
        <w:rPr>
          <w:rFonts w:ascii="仿宋_GB2312" w:eastAsia="仿宋_GB2312" w:hAnsi="宋体" w:cs="宋体" w:hint="eastAsia"/>
          <w:sz w:val="32"/>
          <w:szCs w:val="32"/>
        </w:rPr>
        <w:t>日在区六届人大二次会议上</w:t>
      </w:r>
    </w:p>
    <w:p w:rsidR="00BF3211" w:rsidRDefault="00BF3211">
      <w:pPr>
        <w:jc w:val="center"/>
        <w:rPr>
          <w:rFonts w:ascii="楷体" w:eastAsia="楷体" w:hAnsi="楷体" w:cs="楷体"/>
          <w:sz w:val="30"/>
          <w:szCs w:val="30"/>
        </w:rPr>
      </w:pPr>
    </w:p>
    <w:p w:rsidR="00BF3211" w:rsidRPr="00E46EB3" w:rsidRDefault="008E013D">
      <w:pPr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E46EB3">
        <w:rPr>
          <w:rFonts w:ascii="仿宋_GB2312" w:eastAsia="仿宋_GB2312" w:hAnsi="宋体" w:cs="宋体" w:hint="eastAsia"/>
          <w:b/>
          <w:bCs/>
          <w:sz w:val="32"/>
          <w:szCs w:val="32"/>
        </w:rPr>
        <w:t>区人民法院院长</w:t>
      </w:r>
      <w:r w:rsidRPr="00E46EB3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 </w:t>
      </w:r>
      <w:r w:rsidRPr="00E46EB3">
        <w:rPr>
          <w:rFonts w:ascii="仿宋_GB2312" w:eastAsia="仿宋_GB2312" w:hAnsi="宋体" w:cs="宋体" w:hint="eastAsia"/>
          <w:b/>
          <w:bCs/>
          <w:sz w:val="32"/>
          <w:szCs w:val="32"/>
        </w:rPr>
        <w:t>邵浩鹏</w:t>
      </w:r>
    </w:p>
    <w:p w:rsidR="00BF3211" w:rsidRPr="00E46EB3" w:rsidRDefault="008E013D" w:rsidP="00E46EB3">
      <w:pPr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各位代表：</w:t>
      </w:r>
    </w:p>
    <w:p w:rsidR="00BF3211" w:rsidRPr="00E46EB3" w:rsidRDefault="008E013D" w:rsidP="00E46EB3">
      <w:pPr>
        <w:ind w:firstLine="60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现在，我代表区人民法院向大会报告工作，请予审议。</w:t>
      </w:r>
    </w:p>
    <w:p w:rsidR="00BF3211" w:rsidRPr="00E46EB3" w:rsidRDefault="008E013D" w:rsidP="00E46EB3">
      <w:pPr>
        <w:ind w:firstLine="60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2017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年，区法院在区委的领导、区人大及其常委会监督和上级法院的指导下，在区政府、区政协和社会各界的大力支持下，坚持以习近平新时代中国特色社会主义思想为指导，紧紧围绕“努力让人民群众在每一个司法案件中感受到公平正义”的目标，坚持“司法为民、公正司法”工作主线，加强司法管理，深化司法改革，规范执法办案，推进队伍建设，在巩固中求提高，在创新中求发展，各项工作取得了新成绩，为全区经济社会和谐稳定发展提供了有力的司法保障。</w:t>
      </w:r>
    </w:p>
    <w:p w:rsidR="00BF3211" w:rsidRPr="00E46EB3" w:rsidRDefault="008E013D" w:rsidP="00E46EB3">
      <w:pPr>
        <w:ind w:firstLineChars="200" w:firstLine="640"/>
        <w:jc w:val="left"/>
        <w:rPr>
          <w:rFonts w:ascii="黑体" w:eastAsia="黑体" w:hAnsi="黑体" w:cs="宋体" w:hint="eastAsia"/>
          <w:bCs/>
          <w:snapToGrid w:val="0"/>
          <w:sz w:val="32"/>
          <w:szCs w:val="32"/>
        </w:rPr>
      </w:pPr>
      <w:r w:rsidRPr="00E46EB3">
        <w:rPr>
          <w:rFonts w:ascii="黑体" w:eastAsia="黑体" w:hAnsi="黑体" w:cs="宋体" w:hint="eastAsia"/>
          <w:bCs/>
          <w:snapToGrid w:val="0"/>
          <w:sz w:val="32"/>
          <w:szCs w:val="32"/>
        </w:rPr>
        <w:t>一、加强审判执行工作，维护社会和谐稳定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2017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年，我院狠抓执法办案第一要务，充分发挥审判职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能作用，截至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11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月末共受理各类案件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11228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件，审结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7797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件，审限内结案率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98.11%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。员额法官人均收案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320.8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件，人均结案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222.77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件。</w:t>
      </w:r>
    </w:p>
    <w:p w:rsidR="00BF3211" w:rsidRPr="00E46EB3" w:rsidRDefault="008E013D" w:rsidP="00E46EB3">
      <w:pPr>
        <w:ind w:firstLineChars="200" w:firstLine="643"/>
        <w:jc w:val="left"/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  <w:t>(</w:t>
      </w:r>
      <w:r w:rsidRPr="00E46EB3"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  <w:t>一）宽严相济惩治刑事犯罪，促进和谐稳定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lastRenderedPageBreak/>
        <w:t>2017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年受理各类刑事案件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515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件，审结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457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。在刑事审判工作中，坚持惩罚犯罪与保障人权并重；不断完善量刑规范化制度建设，切实保障诉讼当事人的合法权益。坚持教育为主、惩戒为辅的原则，做好青少年犯罪预防、矫正感化工作，积极探索青少年犯罪的防控体系，推动综合治理创新发展。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（二）调判结合保障合法权益，服务社会民生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按照“调解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优先、调判结合”原则，有效处理涉民生案件，促进社会和谐。截至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2017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年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11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月末，共受理各类民商事案件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7205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件，审结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5568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件，结案率为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77.28%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。审结的案件中，经调解结案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1002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件、撤诉结案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981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件，有效的化解了社会矛盾，保障了公民的合法权益，为维护和稳定全区经济社会秩序提供了有力的司法保障。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（三）稳妥化解行政非诉争议，规范行政行为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受理行政案件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172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件，审结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146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件，同比分别减少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72%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和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70%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。在行政诉讼中，贯彻最高人民法院《关于进一步保护和规范当事人依法行使行政诉权的若干意见》，简化立案程序，切实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解决行政诉讼“告状难”问题。运用协调、疏导、释明等多种方式，引导当事人通过合法有效途径实现权利救济。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（四）灵活运用多项司法措施，提升执行效果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受理各类执行案件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3336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件，执结案件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1626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件。以执行指挥中心为依托，进一步完善执行信息查询、执行案件调度和案件执行联动三大平台建设，提高执行到位率；对不动产执行查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lastRenderedPageBreak/>
        <w:t>封后“管控难、变现难、周期长”的问题，推进淘宝网司法拍卖平台建设，努力实现司法资源的成果转化；加大执行惩戒力度，发挥失信者“黑名单”、限制高消费等制度的作用，将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1036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人纳入失信“黑名单”，公开曝光，有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38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名被执行人迫于压力主动履行。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（五）创新信访接待工作格局，化解矛盾纠纷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涉诉信访工作是法院工作的重要组成部分，我院建立了以立案庭为职能部门，全院各部门协调配合、齐抓共管的信访工作新模式。今年来，共处理群众来信、来访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162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件（次），同比下降了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30%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，现已解决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156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件，化解率达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96%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，信访案件呈逐年下降趋势，在今年“十九大”期间我院未发生集体访、非访案件，在此期间在最高院未有信访登记案件，圆满的完成了维稳工作。</w:t>
      </w:r>
    </w:p>
    <w:p w:rsidR="00BF3211" w:rsidRPr="00E46EB3" w:rsidRDefault="008E013D" w:rsidP="00E46EB3">
      <w:pPr>
        <w:ind w:firstLineChars="200" w:firstLine="640"/>
        <w:jc w:val="left"/>
        <w:rPr>
          <w:rFonts w:ascii="黑体" w:eastAsia="黑体" w:hAnsi="黑体" w:cs="宋体" w:hint="eastAsia"/>
          <w:bCs/>
          <w:snapToGrid w:val="0"/>
          <w:sz w:val="32"/>
          <w:szCs w:val="32"/>
        </w:rPr>
      </w:pPr>
      <w:r w:rsidRPr="00E46EB3">
        <w:rPr>
          <w:rFonts w:ascii="黑体" w:eastAsia="黑体" w:hAnsi="黑体" w:cs="宋体" w:hint="eastAsia"/>
          <w:bCs/>
          <w:snapToGrid w:val="0"/>
          <w:sz w:val="32"/>
          <w:szCs w:val="32"/>
        </w:rPr>
        <w:t>二、落实司法为民宗旨，全力服务保障民生</w:t>
      </w:r>
    </w:p>
    <w:p w:rsidR="00BF3211" w:rsidRPr="00E46EB3" w:rsidRDefault="008E013D" w:rsidP="00E46EB3">
      <w:pPr>
        <w:numPr>
          <w:ilvl w:val="0"/>
          <w:numId w:val="1"/>
        </w:num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全面落实精准扶贫政策，实现解民之忧</w:t>
      </w:r>
    </w:p>
    <w:p w:rsidR="00BF3211" w:rsidRPr="00E46EB3" w:rsidRDefault="008E013D" w:rsidP="00E46EB3">
      <w:pPr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b/>
          <w:bCs/>
          <w:snapToGrid w:val="0"/>
          <w:sz w:val="32"/>
          <w:szCs w:val="32"/>
        </w:rPr>
        <w:t xml:space="preserve">   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 xml:space="preserve"> 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我院以“规划至村、帮扶到户”为原则，深入开展精准扶贫工作，一年来对伯都乡蔡家村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16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户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34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人提供扶贫资金和物资，实现脱贫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9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户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22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人；同时围绕抗震救灾工作，向困难群众提供房屋修缮资金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6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万元，并帮助进行危房重建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2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栋，有力的贯彻了中央扶贫政策，切实做到精准扶贫。</w:t>
      </w:r>
    </w:p>
    <w:p w:rsidR="00BF3211" w:rsidRPr="00E46EB3" w:rsidRDefault="008E013D" w:rsidP="00E46EB3">
      <w:pPr>
        <w:ind w:firstLine="600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（二）完善诉讼服务中心建设，实现立案便民</w:t>
      </w:r>
    </w:p>
    <w:p w:rsidR="00BF3211" w:rsidRPr="00E46EB3" w:rsidRDefault="008E013D" w:rsidP="00E46EB3">
      <w:pPr>
        <w:ind w:firstLine="60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完善立案大厅设施，提供更加人性化的服务；丰富窗口服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lastRenderedPageBreak/>
        <w:t>务功能，打造“一站式”服务平台；实现诉讼服务中心与互联网诉讼服务平台对接，为群众提供便捷的诉讼服务；利用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12368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短信服务平台，向当事人发送办案环节的信息；为方便当事人诉讼，加强对当事人立案材料一次性告知的规范化指引，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99%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的案件当日立案，做到了有案必立，有诉必理。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（三）积极推进智慧法院建设，实现科技便民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我院积极构建全要素集约化信息网络体系、全业务全流程融合应用体系以及全方位信息资源服务体系，推进智慧法院建设，提供坚强的信息化基础支撑。推进“互联网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+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阳光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司法”，促进法院工作公开透明便民，使人民群众有更强的司法获得感。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（四）创新思路设立家事法庭，实现服务便民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充分结合发展实际，我院创设了家事审判法庭。转变审判理念，不断增强司法柔性和情感治愈性，在</w:t>
      </w:r>
      <w:r w:rsidRPr="00E46EB3">
        <w:rPr>
          <w:rFonts w:ascii="仿宋_GB2312" w:eastAsia="仿宋_GB2312" w:hAnsiTheme="minorEastAsia" w:hint="eastAsia"/>
          <w:snapToGrid w:val="0"/>
          <w:sz w:val="32"/>
          <w:szCs w:val="32"/>
        </w:rPr>
        <w:t>婚姻、抚养、继承等家事纠纷</w:t>
      </w:r>
      <w:r w:rsidRPr="00E46EB3">
        <w:rPr>
          <w:rFonts w:ascii="仿宋_GB2312" w:eastAsia="仿宋_GB2312" w:hAnsiTheme="minorEastAsia" w:hint="eastAsia"/>
          <w:snapToGrid w:val="0"/>
          <w:sz w:val="32"/>
          <w:szCs w:val="32"/>
        </w:rPr>
        <w:t>审理中充分贯彻司法便民原则，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体现了家事审判保障未成年人、老年人、妇女合法权益的宗旨。新型审判场所的建立，更能突出家事审判文化，营造家庭和谐氛围。</w:t>
      </w:r>
    </w:p>
    <w:p w:rsidR="00BF3211" w:rsidRPr="00E46EB3" w:rsidRDefault="008E013D" w:rsidP="00E46EB3">
      <w:pPr>
        <w:ind w:firstLineChars="200" w:firstLine="640"/>
        <w:jc w:val="left"/>
        <w:rPr>
          <w:rFonts w:ascii="黑体" w:eastAsia="黑体" w:hAnsi="黑体" w:cs="宋体" w:hint="eastAsia"/>
          <w:bCs/>
          <w:snapToGrid w:val="0"/>
          <w:sz w:val="32"/>
          <w:szCs w:val="32"/>
        </w:rPr>
      </w:pPr>
      <w:r w:rsidRPr="00E46EB3">
        <w:rPr>
          <w:rFonts w:ascii="黑体" w:eastAsia="黑体" w:hAnsi="黑体" w:cs="宋体" w:hint="eastAsia"/>
          <w:bCs/>
          <w:snapToGrid w:val="0"/>
          <w:sz w:val="32"/>
          <w:szCs w:val="32"/>
        </w:rPr>
        <w:t>三、深化司法体制改革，打造专业审判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（一）深化司法配套改革，加快提升司法专业能力</w:t>
      </w:r>
    </w:p>
    <w:p w:rsidR="00BF3211" w:rsidRPr="00E46EB3" w:rsidRDefault="008E013D" w:rsidP="00E46EB3">
      <w:pPr>
        <w:ind w:firstLine="60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作为全省司法改革试点法院之一，我院法官员额制改革初步完成，为进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一步加快员额制相关的配套改革，对于审判辅助人员和司法行政人员也将进行专项的分类管理，全面加强法官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lastRenderedPageBreak/>
        <w:t>正规化、专业化、职业化建设。</w:t>
      </w:r>
    </w:p>
    <w:p w:rsidR="00BF3211" w:rsidRPr="00E46EB3" w:rsidRDefault="008E013D" w:rsidP="00E46EB3">
      <w:pPr>
        <w:numPr>
          <w:ilvl w:val="0"/>
          <w:numId w:val="2"/>
        </w:numPr>
        <w:ind w:firstLine="600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明晰司法责任制度，全面优化审判运行机制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建立新型审判权运行机制，实现扁平化管理，加快新型专业化审判团队建设，突出员额法官的核心地位；改革审判委员会</w:t>
      </w:r>
      <w:bookmarkStart w:id="0" w:name="_GoBack"/>
      <w:bookmarkEnd w:id="0"/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工作机制；建立符合司法运行规律的考评机制，实行有进有出的动态管理模式。</w:t>
      </w:r>
    </w:p>
    <w:p w:rsidR="00BF3211" w:rsidRPr="00E46EB3" w:rsidRDefault="008E013D" w:rsidP="00E46EB3">
      <w:pPr>
        <w:numPr>
          <w:ilvl w:val="0"/>
          <w:numId w:val="2"/>
        </w:numPr>
        <w:ind w:firstLine="600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充分做好人权保障，推进刑事诉讼制度改革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积极探索案件繁简分流，开展远程视频审判方式；落实证人出庭制度，进一步规范裁判文书，实现了罪刑相适应、罪刑法定及人权保障的司法理念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，切实通过审判来保障当事人的合法权益。</w:t>
      </w:r>
    </w:p>
    <w:p w:rsidR="00BF3211" w:rsidRPr="00E46EB3" w:rsidRDefault="008E013D" w:rsidP="00E46EB3">
      <w:pPr>
        <w:numPr>
          <w:ilvl w:val="0"/>
          <w:numId w:val="2"/>
        </w:numPr>
        <w:ind w:firstLine="640"/>
        <w:jc w:val="left"/>
        <w:rPr>
          <w:rFonts w:ascii="楷体_GB2312" w:eastAsia="楷体_GB2312" w:hAnsiTheme="majorEastAsia" w:cstheme="majorEastAsia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打造多元化解纠纷，实现多部门联动新格局</w:t>
      </w:r>
      <w:r w:rsidRPr="00E46EB3">
        <w:rPr>
          <w:rFonts w:ascii="楷体_GB2312" w:eastAsia="楷体_GB2312" w:hAnsiTheme="majorEastAsia" w:cstheme="majorEastAsia" w:hint="eastAsia"/>
          <w:b/>
          <w:bCs/>
          <w:snapToGrid w:val="0"/>
          <w:sz w:val="32"/>
          <w:szCs w:val="32"/>
        </w:rPr>
        <w:t xml:space="preserve">   </w:t>
      </w:r>
    </w:p>
    <w:p w:rsidR="00BF3211" w:rsidRPr="00E46EB3" w:rsidRDefault="008E013D" w:rsidP="00E46EB3">
      <w:pPr>
        <w:jc w:val="left"/>
        <w:rPr>
          <w:rFonts w:ascii="仿宋_GB2312" w:eastAsia="仿宋_GB2312" w:hAnsiTheme="majorEastAsia" w:cstheme="majorEastAsia" w:hint="eastAsia"/>
          <w:snapToGrid w:val="0"/>
          <w:sz w:val="32"/>
          <w:szCs w:val="32"/>
        </w:rPr>
      </w:pPr>
      <w:r w:rsidRPr="00E46EB3">
        <w:rPr>
          <w:rFonts w:ascii="仿宋_GB2312" w:eastAsia="仿宋_GB2312" w:hAnsiTheme="majorEastAsia" w:cstheme="majorEastAsia" w:hint="eastAsia"/>
          <w:b/>
          <w:bCs/>
          <w:snapToGrid w:val="0"/>
          <w:sz w:val="32"/>
          <w:szCs w:val="32"/>
        </w:rPr>
        <w:t xml:space="preserve">    </w:t>
      </w:r>
      <w:r w:rsidRPr="00E46EB3">
        <w:rPr>
          <w:rFonts w:ascii="仿宋_GB2312" w:eastAsia="仿宋_GB2312" w:hAnsiTheme="majorEastAsia" w:cstheme="majorEastAsia" w:hint="eastAsia"/>
          <w:snapToGrid w:val="0"/>
          <w:sz w:val="32"/>
          <w:szCs w:val="32"/>
        </w:rPr>
        <w:t>坚持预防为主、源头治理的工作思路，构建党委领导、法院主导、多元联动的纠纷化解模式。在四个街道矛盾调处中心，派驻法官参与调解，创新诉讼服务，强化诉前衔接。整合社会资源，建立了人民调解、行政调解和司法调解“三位一体”的大调解格局。</w:t>
      </w:r>
    </w:p>
    <w:p w:rsidR="00BF3211" w:rsidRPr="00E46EB3" w:rsidRDefault="008E013D" w:rsidP="00E46EB3">
      <w:pPr>
        <w:numPr>
          <w:ilvl w:val="0"/>
          <w:numId w:val="3"/>
        </w:numPr>
        <w:ind w:firstLineChars="200" w:firstLine="640"/>
        <w:jc w:val="left"/>
        <w:rPr>
          <w:rFonts w:ascii="黑体" w:eastAsia="黑体" w:hAnsi="黑体" w:cs="宋体" w:hint="eastAsia"/>
          <w:bCs/>
          <w:snapToGrid w:val="0"/>
          <w:sz w:val="32"/>
          <w:szCs w:val="32"/>
        </w:rPr>
      </w:pPr>
      <w:r w:rsidRPr="00E46EB3">
        <w:rPr>
          <w:rFonts w:ascii="黑体" w:eastAsia="黑体" w:hAnsi="黑体" w:cs="宋体" w:hint="eastAsia"/>
          <w:bCs/>
          <w:snapToGrid w:val="0"/>
          <w:sz w:val="32"/>
          <w:szCs w:val="32"/>
        </w:rPr>
        <w:t>坚定职业信仰，加强法院队伍建设</w:t>
      </w:r>
    </w:p>
    <w:p w:rsidR="00BF3211" w:rsidRPr="00E46EB3" w:rsidRDefault="008E013D" w:rsidP="00E46EB3">
      <w:pPr>
        <w:ind w:firstLineChars="200" w:firstLine="643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（一）强化教育培训，提升干警综合素质</w:t>
      </w:r>
    </w:p>
    <w:p w:rsidR="00BF3211" w:rsidRPr="00E46EB3" w:rsidRDefault="008E013D" w:rsidP="00E46EB3">
      <w:pPr>
        <w:ind w:firstLine="60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联系实际，认真学习十九大精神，端正干警意识形态，形成正确思想引领，通过组织开展“两学一做”、“不忘初心，牢记使命”等活动，教育干警牢固树立社会主义法治理念。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2017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lastRenderedPageBreak/>
        <w:t>年，我院法官、干警累计参加各种业务培训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4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批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385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人次，提高了我院干警队伍综合素质能力。</w:t>
      </w: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 xml:space="preserve"> </w:t>
      </w:r>
    </w:p>
    <w:p w:rsidR="00BF3211" w:rsidRPr="00E46EB3" w:rsidRDefault="008E013D" w:rsidP="00E46EB3">
      <w:pPr>
        <w:numPr>
          <w:ilvl w:val="0"/>
          <w:numId w:val="4"/>
        </w:numPr>
        <w:ind w:firstLine="600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坚持从严治院，加强司法廉洁建设</w:t>
      </w:r>
    </w:p>
    <w:p w:rsidR="00BF3211" w:rsidRPr="00E46EB3" w:rsidRDefault="008E013D" w:rsidP="00E46EB3">
      <w:pPr>
        <w:ind w:firstLineChars="200" w:firstLine="640"/>
        <w:jc w:val="left"/>
        <w:rPr>
          <w:rFonts w:ascii="仿宋_GB2312" w:eastAsia="仿宋_GB2312" w:hAnsi="宋体" w:cs="宋体" w:hint="eastAsia"/>
          <w:snapToGrid w:val="0"/>
          <w:sz w:val="32"/>
          <w:szCs w:val="32"/>
        </w:rPr>
      </w:pPr>
      <w:r w:rsidRPr="00E46EB3">
        <w:rPr>
          <w:rFonts w:ascii="仿宋_GB2312" w:eastAsia="仿宋_GB2312" w:hAnsi="宋体" w:cs="宋体" w:hint="eastAsia"/>
          <w:snapToGrid w:val="0"/>
          <w:sz w:val="32"/>
          <w:szCs w:val="32"/>
        </w:rPr>
        <w:t>强化党组在党风廉政建设中的主体责任，做到主动担责、带头尽责、严肃追责。严格落实“一岗双责”、“一案双查”责任制，扎实开展廉洁司法主题教育活动。持续开展审务督查活动，通过案件评查、信访投诉、日常督查等途径主动发现问题、处理问题。切实加强廉政警示教育，通过通报违法案例、观看警示影片、聆听廉政报告、撰写廉政心得等举措，提高廉洁司法意识，营造崇廉重廉氛围。</w:t>
      </w:r>
    </w:p>
    <w:p w:rsidR="00BF3211" w:rsidRPr="00E46EB3" w:rsidRDefault="008E013D" w:rsidP="00E46EB3">
      <w:pPr>
        <w:widowControl/>
        <w:numPr>
          <w:ilvl w:val="0"/>
          <w:numId w:val="4"/>
        </w:numPr>
        <w:shd w:val="clear" w:color="auto" w:fill="FFFFFF"/>
        <w:ind w:firstLine="560"/>
        <w:jc w:val="left"/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</w:pPr>
      <w:r w:rsidRPr="00E46EB3">
        <w:rPr>
          <w:rFonts w:ascii="楷体_GB2312" w:eastAsia="楷体_GB2312" w:hAnsi="宋体" w:cs="宋体" w:hint="eastAsia"/>
          <w:b/>
          <w:bCs/>
          <w:snapToGrid w:val="0"/>
          <w:sz w:val="32"/>
          <w:szCs w:val="32"/>
        </w:rPr>
        <w:t>凝聚法律信仰，大力弘扬法治文化</w:t>
      </w:r>
    </w:p>
    <w:p w:rsidR="00BF3211" w:rsidRPr="00E46EB3" w:rsidRDefault="008E013D" w:rsidP="00E46EB3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</w:pP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打造一厅一廊法治名言、警句，激励干警；建立院史展室及阅览室，凝聚斗志、坚定信仰；建立法官宣誓制度，尊重职责、坚守使命；坚持开展“</w:t>
      </w: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四走进”活动，法官进社区、进企业、进学校、进军营举办法制讲座活动，普及法律知识，增强群众法律意识。</w:t>
      </w:r>
    </w:p>
    <w:p w:rsidR="00BF3211" w:rsidRPr="00E46EB3" w:rsidRDefault="008E013D" w:rsidP="00E46EB3">
      <w:pPr>
        <w:widowControl/>
        <w:numPr>
          <w:ilvl w:val="0"/>
          <w:numId w:val="5"/>
        </w:numPr>
        <w:shd w:val="clear" w:color="auto" w:fill="FFFFFF"/>
        <w:ind w:firstLineChars="200" w:firstLine="640"/>
        <w:jc w:val="left"/>
        <w:rPr>
          <w:rFonts w:ascii="黑体" w:eastAsia="黑体" w:hAnsi="黑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</w:pPr>
      <w:r w:rsidRPr="00E46EB3">
        <w:rPr>
          <w:rFonts w:ascii="黑体" w:eastAsia="黑体" w:hAnsi="黑体" w:cs="宋体" w:hint="eastAsia"/>
          <w:bCs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自觉接受党的领导和人大监督</w:t>
      </w:r>
    </w:p>
    <w:p w:rsidR="00BF3211" w:rsidRPr="00E46EB3" w:rsidRDefault="008E013D" w:rsidP="00E46EB3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</w:pP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始终坚持党对法院工作的绝对领导，自觉把审执工作置于人大监督之下。畅通监督渠道，加强代表、委员联络工作，</w:t>
      </w:r>
    </w:p>
    <w:p w:rsidR="00BF3211" w:rsidRPr="00E46EB3" w:rsidRDefault="008E013D" w:rsidP="00E46EB3">
      <w:pPr>
        <w:widowControl/>
        <w:shd w:val="clear" w:color="auto" w:fill="FFFFFF"/>
        <w:jc w:val="left"/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</w:pP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认真听取代表、委员意见建议，推进法院科学发展。</w:t>
      </w:r>
    </w:p>
    <w:p w:rsidR="00BF3211" w:rsidRPr="00E46EB3" w:rsidRDefault="008E013D" w:rsidP="00E46EB3">
      <w:pPr>
        <w:widowControl/>
        <w:shd w:val="clear" w:color="auto" w:fill="FFFFFF"/>
        <w:ind w:firstLine="560"/>
        <w:jc w:val="left"/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</w:pP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各位代表，过去一年，我院取得的成绩，得益于区委的正确领导，得益于区人大、区政协的有力监督，得益于区政府及</w:t>
      </w: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lastRenderedPageBreak/>
        <w:t>有关部门的大力支持。在此，我代表全院干警向区委、区人大、区政府、区政协及全区人民表示衷心的感谢！</w:t>
      </w:r>
    </w:p>
    <w:p w:rsidR="00BF3211" w:rsidRPr="00E46EB3" w:rsidRDefault="008E013D" w:rsidP="00E46EB3">
      <w:pPr>
        <w:widowControl/>
        <w:shd w:val="clear" w:color="auto" w:fill="FFFFFF"/>
        <w:ind w:firstLine="560"/>
        <w:jc w:val="left"/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</w:pP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区法院在工作中也存在着一些问题和困难：案件数量持续增长，案多人少的矛盾日益突出；审执工作质效有待于进一步提高，司法为民的工作作风与群众的期待还有一定的差距；司法公开的广度和深度还需进一步拓展。对此，我们将努力采取措施，积极加以解决。</w:t>
      </w:r>
    </w:p>
    <w:p w:rsidR="00BF3211" w:rsidRPr="00E46EB3" w:rsidRDefault="008E013D" w:rsidP="00E46EB3">
      <w:pPr>
        <w:widowControl/>
        <w:shd w:val="clear" w:color="auto" w:fill="FFFFFF"/>
        <w:ind w:firstLine="560"/>
        <w:jc w:val="left"/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</w:pPr>
      <w:r w:rsidRPr="00E46EB3">
        <w:rPr>
          <w:rFonts w:ascii="仿宋_GB2312" w:eastAsia="仿宋_GB2312" w:hAnsi="宋体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  <w:lang/>
        </w:rPr>
        <w:t>各位代表，区法院将以习近平新时代中国特色社会主义思想为指导，认真贯彻区委部署要求和本次大会的决议，凝心聚力、开拓创新、扎实工作，进一步增强司法服务大局的能动性和有效性，充分发挥审判职能，为实现两个一百年的宏伟目标及建设繁荣、活力、宜居、共享、和谐的现代化中心城区作出新的贡献。</w:t>
      </w:r>
    </w:p>
    <w:p w:rsidR="00BF3211" w:rsidRPr="00E46EB3" w:rsidRDefault="00BF3211">
      <w:pPr>
        <w:ind w:firstLine="600"/>
        <w:jc w:val="left"/>
        <w:rPr>
          <w:rFonts w:ascii="仿宋_GB2312" w:eastAsia="仿宋_GB2312" w:hAnsi="宋体" w:cs="宋体" w:hint="eastAsia"/>
          <w:sz w:val="30"/>
          <w:szCs w:val="30"/>
        </w:rPr>
      </w:pPr>
    </w:p>
    <w:p w:rsidR="00BF3211" w:rsidRPr="00E46EB3" w:rsidRDefault="008E013D">
      <w:pPr>
        <w:jc w:val="left"/>
        <w:rPr>
          <w:rFonts w:ascii="仿宋_GB2312" w:eastAsia="仿宋_GB2312" w:hAnsi="宋体" w:cs="宋体" w:hint="eastAsia"/>
          <w:b/>
          <w:bCs/>
          <w:sz w:val="30"/>
          <w:szCs w:val="30"/>
        </w:rPr>
      </w:pPr>
      <w:r w:rsidRPr="00E46EB3">
        <w:rPr>
          <w:rFonts w:ascii="仿宋_GB2312" w:eastAsia="仿宋_GB2312" w:hAnsi="宋体" w:cs="宋体" w:hint="eastAsia"/>
          <w:sz w:val="30"/>
          <w:szCs w:val="30"/>
        </w:rPr>
        <w:t xml:space="preserve">    </w:t>
      </w:r>
    </w:p>
    <w:p w:rsidR="00BF3211" w:rsidRPr="00E46EB3" w:rsidRDefault="008E013D">
      <w:pPr>
        <w:jc w:val="left"/>
        <w:rPr>
          <w:rFonts w:ascii="仿宋_GB2312" w:eastAsia="仿宋_GB2312" w:hAnsi="楷体" w:cs="楷体" w:hint="eastAsia"/>
          <w:sz w:val="28"/>
          <w:szCs w:val="28"/>
        </w:rPr>
      </w:pPr>
      <w:r w:rsidRPr="00E46EB3">
        <w:rPr>
          <w:rFonts w:ascii="仿宋_GB2312" w:eastAsia="仿宋_GB2312" w:hAnsi="宋体" w:cs="宋体" w:hint="eastAsia"/>
          <w:b/>
          <w:bCs/>
          <w:sz w:val="30"/>
          <w:szCs w:val="30"/>
        </w:rPr>
        <w:t xml:space="preserve">     </w:t>
      </w:r>
    </w:p>
    <w:sectPr w:rsidR="00BF3211" w:rsidRPr="00E46EB3" w:rsidSect="00E46EB3"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3D" w:rsidRDefault="008E013D" w:rsidP="00BF3211">
      <w:r>
        <w:separator/>
      </w:r>
    </w:p>
  </w:endnote>
  <w:endnote w:type="continuationSeparator" w:id="0">
    <w:p w:rsidR="008E013D" w:rsidRDefault="008E013D" w:rsidP="00BF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11" w:rsidRDefault="00BF321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F3211" w:rsidRDefault="00BF3211">
                <w:pPr>
                  <w:pStyle w:val="a3"/>
                  <w:rPr>
                    <w:i/>
                    <w:iCs/>
                    <w:sz w:val="21"/>
                    <w:szCs w:val="21"/>
                  </w:rPr>
                </w:pPr>
                <w:r>
                  <w:rPr>
                    <w:rFonts w:hint="eastAsia"/>
                    <w:i/>
                    <w:iCs/>
                    <w:sz w:val="21"/>
                    <w:szCs w:val="21"/>
                  </w:rPr>
                  <w:fldChar w:fldCharType="begin"/>
                </w:r>
                <w:r w:rsidR="008E013D">
                  <w:rPr>
                    <w:rFonts w:hint="eastAsia"/>
                    <w:i/>
                    <w:iCs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i/>
                    <w:iCs/>
                    <w:sz w:val="21"/>
                    <w:szCs w:val="21"/>
                  </w:rPr>
                  <w:fldChar w:fldCharType="separate"/>
                </w:r>
                <w:r w:rsidR="00AF282B">
                  <w:rPr>
                    <w:i/>
                    <w:iCs/>
                    <w:noProof/>
                    <w:sz w:val="21"/>
                    <w:szCs w:val="21"/>
                  </w:rPr>
                  <w:t>- 7 -</w:t>
                </w:r>
                <w:r>
                  <w:rPr>
                    <w:rFonts w:hint="eastAsia"/>
                    <w:i/>
                    <w:iCs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3D" w:rsidRDefault="008E013D" w:rsidP="00BF3211">
      <w:r>
        <w:separator/>
      </w:r>
    </w:p>
  </w:footnote>
  <w:footnote w:type="continuationSeparator" w:id="0">
    <w:p w:rsidR="008E013D" w:rsidRDefault="008E013D" w:rsidP="00BF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EA0"/>
    <w:multiLevelType w:val="singleLevel"/>
    <w:tmpl w:val="5A165EA0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A165EC1"/>
    <w:multiLevelType w:val="singleLevel"/>
    <w:tmpl w:val="5A165EC1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A1FA0AA"/>
    <w:multiLevelType w:val="singleLevel"/>
    <w:tmpl w:val="5A1FA0AA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A1FA209"/>
    <w:multiLevelType w:val="singleLevel"/>
    <w:tmpl w:val="5A1FA209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2DE4C9"/>
    <w:multiLevelType w:val="singleLevel"/>
    <w:tmpl w:val="5A2DE4C9"/>
    <w:lvl w:ilvl="0">
      <w:start w:val="5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8E013D"/>
    <w:rsid w:val="00AF282B"/>
    <w:rsid w:val="00B316CB"/>
    <w:rsid w:val="00BF3211"/>
    <w:rsid w:val="00E46EB3"/>
    <w:rsid w:val="055F5D87"/>
    <w:rsid w:val="05BF0A26"/>
    <w:rsid w:val="097F3527"/>
    <w:rsid w:val="12FD575A"/>
    <w:rsid w:val="1C83230D"/>
    <w:rsid w:val="1CCF2F7D"/>
    <w:rsid w:val="1E754563"/>
    <w:rsid w:val="205F7C5D"/>
    <w:rsid w:val="22D24E0C"/>
    <w:rsid w:val="237A2510"/>
    <w:rsid w:val="27AA5F6B"/>
    <w:rsid w:val="2D375084"/>
    <w:rsid w:val="2E9F67B4"/>
    <w:rsid w:val="2F04039E"/>
    <w:rsid w:val="3134154B"/>
    <w:rsid w:val="34316DA6"/>
    <w:rsid w:val="347D6287"/>
    <w:rsid w:val="385F22DF"/>
    <w:rsid w:val="392327A8"/>
    <w:rsid w:val="399941C5"/>
    <w:rsid w:val="3F340F56"/>
    <w:rsid w:val="40930BCF"/>
    <w:rsid w:val="45E0591E"/>
    <w:rsid w:val="46A66624"/>
    <w:rsid w:val="4EFD6E24"/>
    <w:rsid w:val="50935B45"/>
    <w:rsid w:val="51E073BF"/>
    <w:rsid w:val="52D51A50"/>
    <w:rsid w:val="54BE42E0"/>
    <w:rsid w:val="56F9126B"/>
    <w:rsid w:val="578A2033"/>
    <w:rsid w:val="587111F6"/>
    <w:rsid w:val="590869FD"/>
    <w:rsid w:val="5AD85D61"/>
    <w:rsid w:val="603051BB"/>
    <w:rsid w:val="64E6558E"/>
    <w:rsid w:val="66823CD1"/>
    <w:rsid w:val="68726612"/>
    <w:rsid w:val="6BA120CF"/>
    <w:rsid w:val="720D5A08"/>
    <w:rsid w:val="734222B6"/>
    <w:rsid w:val="782D6F8F"/>
    <w:rsid w:val="78806BCD"/>
    <w:rsid w:val="7D05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2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32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32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鹰击长空</dc:creator>
  <cp:lastModifiedBy>LENOVO</cp:lastModifiedBy>
  <cp:revision>2</cp:revision>
  <cp:lastPrinted>2017-12-22T03:29:00Z</cp:lastPrinted>
  <dcterms:created xsi:type="dcterms:W3CDTF">2017-11-13T01:16:00Z</dcterms:created>
  <dcterms:modified xsi:type="dcterms:W3CDTF">2017-12-22T05:10:00Z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